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3D860" w14:textId="2F126F61" w:rsidR="003E6607" w:rsidRDefault="003E6607" w:rsidP="003E6607">
      <w:pPr>
        <w:pStyle w:val="CM4"/>
        <w:spacing w:after="235" w:line="303" w:lineRule="atLeast"/>
        <w:jc w:val="center"/>
        <w:rPr>
          <w:color w:val="000000"/>
          <w:sz w:val="23"/>
          <w:szCs w:val="23"/>
        </w:rPr>
      </w:pPr>
      <w:bookmarkStart w:id="0" w:name="_GoBack"/>
      <w:bookmarkEnd w:id="0"/>
      <w:r>
        <w:rPr>
          <w:b/>
          <w:bCs/>
          <w:color w:val="000000"/>
          <w:sz w:val="23"/>
          <w:szCs w:val="23"/>
        </w:rPr>
        <w:t>INSTRUCTION</w:t>
      </w:r>
      <w:r w:rsidR="003E5BBC">
        <w:rPr>
          <w:b/>
          <w:bCs/>
          <w:color w:val="000000"/>
          <w:sz w:val="23"/>
          <w:szCs w:val="23"/>
        </w:rPr>
        <w:t xml:space="preserve"> GUIDE</w:t>
      </w:r>
      <w:r>
        <w:rPr>
          <w:b/>
          <w:bCs/>
          <w:color w:val="000000"/>
          <w:sz w:val="23"/>
          <w:szCs w:val="23"/>
        </w:rPr>
        <w:t xml:space="preserve"> FOR COMPLETION OF RETURN ON MONEY LAUNDERING AND TERRORISM FINANCING  </w:t>
      </w:r>
    </w:p>
    <w:tbl>
      <w:tblPr>
        <w:tblW w:w="0" w:type="auto"/>
        <w:tblInd w:w="18" w:type="dxa"/>
        <w:tblBorders>
          <w:top w:val="nil"/>
          <w:left w:val="nil"/>
          <w:bottom w:val="nil"/>
          <w:right w:val="nil"/>
        </w:tblBorders>
        <w:tblLayout w:type="fixed"/>
        <w:tblLook w:val="0000" w:firstRow="0" w:lastRow="0" w:firstColumn="0" w:lastColumn="0" w:noHBand="0" w:noVBand="0"/>
      </w:tblPr>
      <w:tblGrid>
        <w:gridCol w:w="8110"/>
      </w:tblGrid>
      <w:tr w:rsidR="003E6607" w14:paraId="185E049E" w14:textId="77777777" w:rsidTr="003E6607">
        <w:trPr>
          <w:trHeight w:val="445"/>
        </w:trPr>
        <w:tc>
          <w:tcPr>
            <w:tcW w:w="8110" w:type="dxa"/>
            <w:vAlign w:val="center"/>
          </w:tcPr>
          <w:p w14:paraId="0070A908" w14:textId="77777777" w:rsidR="003E6607" w:rsidRDefault="003E6607" w:rsidP="003E6607">
            <w:pPr>
              <w:pStyle w:val="Default"/>
              <w:numPr>
                <w:ilvl w:val="0"/>
                <w:numId w:val="37"/>
              </w:numPr>
              <w:rPr>
                <w:rFonts w:ascii="Arial" w:hAnsi="Arial" w:cs="Arial"/>
                <w:sz w:val="20"/>
                <w:szCs w:val="20"/>
              </w:rPr>
            </w:pPr>
            <w:r>
              <w:rPr>
                <w:rFonts w:ascii="Arial" w:hAnsi="Arial" w:cs="Arial"/>
                <w:sz w:val="20"/>
                <w:szCs w:val="20"/>
              </w:rPr>
              <w:t xml:space="preserve">The purpose of this return is to assist the Securities and Exchange Commission (SEC) to understand the risks faced by Capital Market Operators (CMOs) in relation to money laundering and financing of terrorism arising from their products/services, customer base, delivery channels, and the geographic regions to which they are exposed. </w:t>
            </w:r>
          </w:p>
          <w:p w14:paraId="7D113653" w14:textId="77777777" w:rsidR="003E6607" w:rsidRDefault="003E6607" w:rsidP="003E6607">
            <w:pPr>
              <w:pStyle w:val="Default"/>
              <w:numPr>
                <w:ilvl w:val="0"/>
                <w:numId w:val="37"/>
              </w:numPr>
              <w:rPr>
                <w:rFonts w:ascii="Arial" w:hAnsi="Arial" w:cs="Arial"/>
                <w:sz w:val="20"/>
                <w:szCs w:val="20"/>
              </w:rPr>
            </w:pPr>
            <w:r>
              <w:rPr>
                <w:rFonts w:ascii="Arial" w:hAnsi="Arial" w:cs="Arial"/>
                <w:sz w:val="20"/>
                <w:szCs w:val="20"/>
              </w:rPr>
              <w:t xml:space="preserve">This return should be completed using definitions used by the SEC in its other statistical and prudential returns, except where otherwise specified on the reporting form or in these instructions. </w:t>
            </w:r>
          </w:p>
        </w:tc>
      </w:tr>
      <w:tr w:rsidR="003E6607" w14:paraId="6727C77D" w14:textId="77777777" w:rsidTr="003E6607">
        <w:trPr>
          <w:trHeight w:val="475"/>
        </w:trPr>
        <w:tc>
          <w:tcPr>
            <w:tcW w:w="8110" w:type="dxa"/>
            <w:vAlign w:val="center"/>
          </w:tcPr>
          <w:p w14:paraId="69E3E728" w14:textId="77777777" w:rsidR="003E6607" w:rsidRDefault="003E6607" w:rsidP="003E6607">
            <w:pPr>
              <w:pStyle w:val="Default"/>
              <w:numPr>
                <w:ilvl w:val="0"/>
                <w:numId w:val="37"/>
              </w:numPr>
              <w:rPr>
                <w:rFonts w:ascii="Arial" w:hAnsi="Arial" w:cs="Arial"/>
                <w:sz w:val="20"/>
                <w:szCs w:val="20"/>
              </w:rPr>
            </w:pPr>
            <w:r>
              <w:rPr>
                <w:rFonts w:ascii="Arial" w:hAnsi="Arial" w:cs="Arial"/>
                <w:sz w:val="20"/>
                <w:szCs w:val="20"/>
              </w:rPr>
              <w:t xml:space="preserve">Data availability and accuracy: All questions should be answered – do not leave any boxes blank. Insert N/A when item is not applicable. If requested data is not available, insert N/K. Indicate any estimates by adding ‘E’ to the data provided. </w:t>
            </w:r>
          </w:p>
        </w:tc>
      </w:tr>
      <w:tr w:rsidR="003E6607" w14:paraId="7F4BD572" w14:textId="77777777" w:rsidTr="003E6607">
        <w:trPr>
          <w:trHeight w:val="345"/>
        </w:trPr>
        <w:tc>
          <w:tcPr>
            <w:tcW w:w="8110" w:type="dxa"/>
            <w:vAlign w:val="center"/>
          </w:tcPr>
          <w:p w14:paraId="7C1CFE11" w14:textId="77777777" w:rsidR="003E6607" w:rsidRDefault="003E6607" w:rsidP="003E6607">
            <w:pPr>
              <w:pStyle w:val="Default"/>
              <w:numPr>
                <w:ilvl w:val="0"/>
                <w:numId w:val="37"/>
              </w:numPr>
              <w:rPr>
                <w:rFonts w:ascii="Arial" w:hAnsi="Arial" w:cs="Arial"/>
                <w:sz w:val="20"/>
                <w:szCs w:val="20"/>
              </w:rPr>
            </w:pPr>
            <w:r>
              <w:rPr>
                <w:rFonts w:ascii="Arial" w:hAnsi="Arial" w:cs="Arial"/>
                <w:sz w:val="20"/>
                <w:szCs w:val="20"/>
              </w:rPr>
              <w:t xml:space="preserve">Financial data should be reported in thousands of Ghana Cedis (Gh¢), unless otherwise specified on the return or in these Instructions. </w:t>
            </w:r>
          </w:p>
        </w:tc>
      </w:tr>
      <w:tr w:rsidR="003E6607" w14:paraId="47544DA0" w14:textId="77777777" w:rsidTr="003E6607">
        <w:trPr>
          <w:trHeight w:val="345"/>
        </w:trPr>
        <w:tc>
          <w:tcPr>
            <w:tcW w:w="8110" w:type="dxa"/>
            <w:vAlign w:val="center"/>
          </w:tcPr>
          <w:p w14:paraId="1B487F9C" w14:textId="77777777" w:rsidR="003E6607" w:rsidRDefault="003E6607" w:rsidP="003E6607">
            <w:pPr>
              <w:pStyle w:val="Default"/>
              <w:numPr>
                <w:ilvl w:val="0"/>
                <w:numId w:val="37"/>
              </w:numPr>
              <w:rPr>
                <w:rFonts w:ascii="Arial" w:hAnsi="Arial" w:cs="Arial"/>
                <w:sz w:val="20"/>
                <w:szCs w:val="20"/>
              </w:rPr>
            </w:pPr>
            <w:r>
              <w:rPr>
                <w:rFonts w:ascii="Arial" w:hAnsi="Arial" w:cs="Arial"/>
                <w:sz w:val="20"/>
                <w:szCs w:val="20"/>
              </w:rPr>
              <w:t xml:space="preserve">Data should relate to the reporting date specified by the SEC or, where appropriate (e.g., for transaction data) to the [XX] month period ending on the reporting date specified. </w:t>
            </w:r>
          </w:p>
        </w:tc>
      </w:tr>
      <w:tr w:rsidR="003E6607" w14:paraId="2188FEE9" w14:textId="77777777" w:rsidTr="003E6607">
        <w:trPr>
          <w:trHeight w:val="575"/>
        </w:trPr>
        <w:tc>
          <w:tcPr>
            <w:tcW w:w="8110" w:type="dxa"/>
            <w:vAlign w:val="center"/>
          </w:tcPr>
          <w:p w14:paraId="0832D7AF" w14:textId="77777777" w:rsidR="003E6607" w:rsidRDefault="003E6607" w:rsidP="003E6607">
            <w:pPr>
              <w:pStyle w:val="Default"/>
              <w:numPr>
                <w:ilvl w:val="0"/>
                <w:numId w:val="37"/>
              </w:numPr>
              <w:rPr>
                <w:rFonts w:ascii="Arial" w:hAnsi="Arial" w:cs="Arial"/>
                <w:sz w:val="20"/>
                <w:szCs w:val="20"/>
              </w:rPr>
            </w:pPr>
            <w:r>
              <w:rPr>
                <w:rFonts w:ascii="Arial" w:hAnsi="Arial" w:cs="Arial"/>
                <w:sz w:val="20"/>
                <w:szCs w:val="20"/>
              </w:rPr>
              <w:t xml:space="preserve">Residency should be based on the place of residence of the customer. For transaction data, residency should be based on the location at which the transaction was conducted. Use the definition of residency applied by the SEC for purposes of other statistical and prudential returns. </w:t>
            </w:r>
          </w:p>
        </w:tc>
      </w:tr>
      <w:tr w:rsidR="003E6607" w14:paraId="0A82016C" w14:textId="77777777" w:rsidTr="003E6607">
        <w:trPr>
          <w:trHeight w:val="558"/>
        </w:trPr>
        <w:tc>
          <w:tcPr>
            <w:tcW w:w="8110" w:type="dxa"/>
          </w:tcPr>
          <w:p w14:paraId="1FA7FC2D" w14:textId="7147AB6F" w:rsidR="003E6607" w:rsidRDefault="003E6607" w:rsidP="003E6607">
            <w:pPr>
              <w:pStyle w:val="Default"/>
              <w:numPr>
                <w:ilvl w:val="0"/>
                <w:numId w:val="37"/>
              </w:numPr>
              <w:rPr>
                <w:rFonts w:ascii="Arial" w:hAnsi="Arial" w:cs="Arial"/>
                <w:sz w:val="20"/>
                <w:szCs w:val="20"/>
              </w:rPr>
            </w:pPr>
            <w:r>
              <w:rPr>
                <w:rFonts w:ascii="Arial" w:hAnsi="Arial" w:cs="Arial"/>
                <w:sz w:val="20"/>
                <w:szCs w:val="20"/>
              </w:rPr>
              <w:t xml:space="preserve">Legal person refers to any entities other than natural persons that can establish a  customer relationship with the CMO or otherwise own property. This can include companies, bodies corporate, foundations, partnerships, or associations and other similar entities. </w:t>
            </w:r>
          </w:p>
        </w:tc>
      </w:tr>
      <w:tr w:rsidR="003E6607" w14:paraId="3AEA794B" w14:textId="77777777" w:rsidTr="003E6607">
        <w:trPr>
          <w:trHeight w:val="246"/>
        </w:trPr>
        <w:tc>
          <w:tcPr>
            <w:tcW w:w="8110" w:type="dxa"/>
            <w:vAlign w:val="center"/>
          </w:tcPr>
          <w:p w14:paraId="387D531E" w14:textId="77777777" w:rsidR="003E6607" w:rsidRDefault="003E6607" w:rsidP="003E6607">
            <w:pPr>
              <w:pStyle w:val="Default"/>
              <w:numPr>
                <w:ilvl w:val="0"/>
                <w:numId w:val="37"/>
              </w:numPr>
              <w:rPr>
                <w:rFonts w:ascii="Arial" w:hAnsi="Arial" w:cs="Arial"/>
                <w:sz w:val="20"/>
                <w:szCs w:val="20"/>
              </w:rPr>
            </w:pPr>
            <w:r>
              <w:rPr>
                <w:rFonts w:ascii="Arial" w:hAnsi="Arial" w:cs="Arial"/>
                <w:sz w:val="20"/>
                <w:szCs w:val="20"/>
              </w:rPr>
              <w:t xml:space="preserve">Legal arrangement refers to express trusts or other similar legal arrangements. </w:t>
            </w:r>
          </w:p>
        </w:tc>
      </w:tr>
      <w:tr w:rsidR="003E6607" w14:paraId="6A348432" w14:textId="77777777" w:rsidTr="003E6607">
        <w:trPr>
          <w:trHeight w:val="628"/>
        </w:trPr>
        <w:tc>
          <w:tcPr>
            <w:tcW w:w="8110" w:type="dxa"/>
          </w:tcPr>
          <w:p w14:paraId="503C1274" w14:textId="77777777" w:rsidR="003E6607" w:rsidRPr="003E6607" w:rsidRDefault="003E6607" w:rsidP="00C316EE">
            <w:pPr>
              <w:pStyle w:val="Default"/>
              <w:rPr>
                <w:rFonts w:ascii="Arial" w:hAnsi="Arial" w:cs="Arial"/>
                <w:b/>
                <w:sz w:val="20"/>
                <w:szCs w:val="20"/>
              </w:rPr>
            </w:pPr>
          </w:p>
          <w:p w14:paraId="2B9CCEAC" w14:textId="77777777" w:rsidR="003E6607" w:rsidRDefault="003E6607" w:rsidP="00C316EE">
            <w:pPr>
              <w:pStyle w:val="Default"/>
              <w:rPr>
                <w:rFonts w:ascii="Arial" w:hAnsi="Arial" w:cs="Arial"/>
                <w:b/>
                <w:sz w:val="20"/>
                <w:szCs w:val="20"/>
              </w:rPr>
            </w:pPr>
            <w:r w:rsidRPr="003E6607">
              <w:rPr>
                <w:rFonts w:ascii="Arial" w:hAnsi="Arial" w:cs="Arial"/>
                <w:b/>
                <w:sz w:val="20"/>
                <w:szCs w:val="20"/>
              </w:rPr>
              <w:t>Definitions</w:t>
            </w:r>
          </w:p>
          <w:p w14:paraId="39B170DB" w14:textId="77777777" w:rsidR="003E6607" w:rsidRDefault="003E6607" w:rsidP="00C316EE">
            <w:pPr>
              <w:pStyle w:val="Default"/>
              <w:rPr>
                <w:rFonts w:ascii="Arial" w:hAnsi="Arial" w:cs="Arial"/>
                <w:b/>
                <w:sz w:val="20"/>
                <w:szCs w:val="20"/>
              </w:rPr>
            </w:pPr>
          </w:p>
          <w:p w14:paraId="67434943" w14:textId="77777777" w:rsidR="003E6607" w:rsidRDefault="003E6607" w:rsidP="003E6607">
            <w:pPr>
              <w:pStyle w:val="CM4"/>
              <w:spacing w:after="235" w:line="231" w:lineRule="atLeast"/>
              <w:rPr>
                <w:rFonts w:ascii="Arial" w:hAnsi="Arial" w:cs="Arial"/>
                <w:sz w:val="20"/>
                <w:szCs w:val="20"/>
              </w:rPr>
            </w:pPr>
            <w:r>
              <w:rPr>
                <w:rFonts w:ascii="Arial" w:hAnsi="Arial" w:cs="Arial"/>
                <w:sz w:val="20"/>
                <w:szCs w:val="20"/>
                <w:u w:val="single"/>
              </w:rPr>
              <w:t xml:space="preserve">Politically Exposed Persons </w:t>
            </w:r>
          </w:p>
          <w:p w14:paraId="14BB846C" w14:textId="42A57A44" w:rsidR="003E6607" w:rsidRDefault="003E6607" w:rsidP="003E6607">
            <w:pPr>
              <w:pStyle w:val="CM4"/>
              <w:pageBreakBefore/>
              <w:spacing w:after="235" w:line="231" w:lineRule="atLeast"/>
              <w:ind w:right="217"/>
              <w:rPr>
                <w:rFonts w:ascii="Arial" w:hAnsi="Arial" w:cs="Arial"/>
                <w:sz w:val="20"/>
                <w:szCs w:val="20"/>
              </w:rPr>
            </w:pPr>
            <w:r>
              <w:rPr>
                <w:rFonts w:ascii="Arial" w:hAnsi="Arial" w:cs="Arial"/>
                <w:i/>
                <w:iCs/>
                <w:sz w:val="20"/>
                <w:szCs w:val="20"/>
              </w:rPr>
              <w:t>Foreign politically exposed person:</w:t>
            </w:r>
            <w:r>
              <w:rPr>
                <w:rFonts w:ascii="Arial" w:hAnsi="Arial" w:cs="Arial"/>
                <w:sz w:val="20"/>
                <w:szCs w:val="20"/>
              </w:rPr>
              <w:t xml:space="preserve"> any person who occupies or previously occupied a prominent public function in a foreign country, including a position as head of state or government, senior politician, senior government, judicial, or military official, or senior executive of a state-owned corporation, and important political party officials. </w:t>
            </w:r>
            <w:r>
              <w:rPr>
                <w:rFonts w:ascii="Arial" w:hAnsi="Arial" w:cs="Arial"/>
                <w:i/>
                <w:iCs/>
                <w:sz w:val="20"/>
                <w:szCs w:val="20"/>
              </w:rPr>
              <w:t xml:space="preserve">Domestic politically exposed person: </w:t>
            </w:r>
            <w:r>
              <w:rPr>
                <w:rFonts w:ascii="Arial" w:hAnsi="Arial" w:cs="Arial"/>
                <w:sz w:val="20"/>
                <w:szCs w:val="20"/>
              </w:rPr>
              <w:t xml:space="preserve">any person who occupies or previously occupied a prominent public function in </w:t>
            </w:r>
            <w:r w:rsidR="003E5BBC">
              <w:rPr>
                <w:rFonts w:ascii="Arial" w:hAnsi="Arial" w:cs="Arial"/>
                <w:sz w:val="20"/>
                <w:szCs w:val="20"/>
              </w:rPr>
              <w:t xml:space="preserve">Ghana </w:t>
            </w:r>
            <w:r>
              <w:rPr>
                <w:rFonts w:ascii="Arial" w:hAnsi="Arial" w:cs="Arial"/>
                <w:sz w:val="20"/>
                <w:szCs w:val="20"/>
              </w:rPr>
              <w:t xml:space="preserve">, including a position as head of state or government, senior government, judicial, or military official, or senior executive of a state-owned corporation, and important political party officials. </w:t>
            </w:r>
          </w:p>
          <w:p w14:paraId="78D3E385" w14:textId="61505DF7" w:rsidR="003E6607" w:rsidRDefault="003E6607" w:rsidP="003E6607">
            <w:pPr>
              <w:pStyle w:val="CM4"/>
              <w:pageBreakBefore/>
              <w:spacing w:after="235" w:line="231" w:lineRule="atLeast"/>
              <w:ind w:right="217"/>
              <w:rPr>
                <w:rFonts w:ascii="Arial" w:hAnsi="Arial" w:cs="Arial"/>
                <w:sz w:val="20"/>
                <w:szCs w:val="20"/>
              </w:rPr>
            </w:pPr>
            <w:r>
              <w:rPr>
                <w:rFonts w:ascii="Arial" w:hAnsi="Arial" w:cs="Arial"/>
                <w:i/>
                <w:iCs/>
                <w:sz w:val="20"/>
                <w:szCs w:val="20"/>
              </w:rPr>
              <w:t xml:space="preserve">International </w:t>
            </w:r>
            <w:r w:rsidR="003E5BBC">
              <w:rPr>
                <w:rFonts w:ascii="Arial" w:hAnsi="Arial" w:cs="Arial"/>
                <w:i/>
                <w:iCs/>
                <w:sz w:val="20"/>
                <w:szCs w:val="20"/>
              </w:rPr>
              <w:t xml:space="preserve">organization </w:t>
            </w:r>
            <w:r>
              <w:rPr>
                <w:rFonts w:ascii="Arial" w:hAnsi="Arial" w:cs="Arial"/>
                <w:i/>
                <w:iCs/>
                <w:sz w:val="20"/>
                <w:szCs w:val="20"/>
              </w:rPr>
              <w:t>politically exposed person:</w:t>
            </w:r>
            <w:r>
              <w:rPr>
                <w:rFonts w:ascii="Arial" w:hAnsi="Arial" w:cs="Arial"/>
                <w:sz w:val="20"/>
                <w:szCs w:val="20"/>
              </w:rPr>
              <w:t xml:space="preserve"> any person who occupies or occupied a high-level management position in an international organization, including directors, deputy directors, and members of the board or equivalent functions. </w:t>
            </w:r>
          </w:p>
          <w:p w14:paraId="73CC5FAC" w14:textId="77777777" w:rsidR="003E5BBC" w:rsidRPr="003E5BBC" w:rsidRDefault="003E5BBC" w:rsidP="003E5BBC">
            <w:pPr>
              <w:rPr>
                <w:rFonts w:ascii="Arial" w:hAnsi="Arial" w:cs="Arial"/>
                <w:sz w:val="20"/>
                <w:szCs w:val="20"/>
              </w:rPr>
            </w:pPr>
            <w:r w:rsidRPr="003E5BBC">
              <w:rPr>
                <w:rFonts w:ascii="Arial" w:hAnsi="Arial" w:cs="Arial"/>
                <w:sz w:val="20"/>
                <w:szCs w:val="20"/>
              </w:rPr>
              <w:t>It should be noted that preventive measures apply to PEPs and family members close associates of such persons.</w:t>
            </w:r>
            <w:r>
              <w:rPr>
                <w:rFonts w:ascii="Arial" w:hAnsi="Arial" w:cs="Arial"/>
                <w:sz w:val="20"/>
                <w:szCs w:val="20"/>
              </w:rPr>
              <w:t xml:space="preserve"> </w:t>
            </w:r>
            <w:r w:rsidRPr="003E5BBC">
              <w:rPr>
                <w:rFonts w:ascii="Arial" w:hAnsi="Arial" w:cs="Arial"/>
                <w:sz w:val="20"/>
                <w:szCs w:val="20"/>
              </w:rPr>
              <w:t>Family members are individuals who are related to a PEP either directly</w:t>
            </w:r>
            <w:r>
              <w:rPr>
                <w:rFonts w:ascii="Arial" w:hAnsi="Arial" w:cs="Arial"/>
                <w:sz w:val="20"/>
                <w:szCs w:val="20"/>
              </w:rPr>
              <w:t xml:space="preserve"> </w:t>
            </w:r>
            <w:r w:rsidRPr="003E5BBC">
              <w:rPr>
                <w:rFonts w:ascii="Arial" w:hAnsi="Arial" w:cs="Arial"/>
                <w:sz w:val="20"/>
                <w:szCs w:val="20"/>
              </w:rPr>
              <w:t>(consanguinity) or through marriage or similar (civil) forms of</w:t>
            </w:r>
            <w:r>
              <w:rPr>
                <w:rFonts w:ascii="Arial" w:hAnsi="Arial" w:cs="Arial"/>
                <w:sz w:val="20"/>
                <w:szCs w:val="20"/>
              </w:rPr>
              <w:t xml:space="preserve"> </w:t>
            </w:r>
            <w:r w:rsidRPr="003E5BBC">
              <w:rPr>
                <w:rFonts w:ascii="Arial" w:hAnsi="Arial" w:cs="Arial"/>
                <w:sz w:val="20"/>
                <w:szCs w:val="20"/>
              </w:rPr>
              <w:t>partnership. Close associates are individuals who are closely connected to a PEP, either socially or professionally.</w:t>
            </w:r>
          </w:p>
          <w:p w14:paraId="027F3B28" w14:textId="77777777" w:rsidR="003E5BBC" w:rsidRDefault="003E5BBC" w:rsidP="003E6607">
            <w:pPr>
              <w:pStyle w:val="CM4"/>
              <w:spacing w:after="235" w:line="231" w:lineRule="atLeast"/>
              <w:rPr>
                <w:rFonts w:ascii="Arial" w:hAnsi="Arial" w:cs="Arial"/>
                <w:sz w:val="20"/>
                <w:szCs w:val="20"/>
                <w:u w:val="single"/>
              </w:rPr>
            </w:pPr>
          </w:p>
          <w:p w14:paraId="660D0FC6" w14:textId="77777777" w:rsidR="003E6607" w:rsidRDefault="003E6607" w:rsidP="003E6607">
            <w:pPr>
              <w:pStyle w:val="CM4"/>
              <w:spacing w:after="235" w:line="231" w:lineRule="atLeast"/>
              <w:rPr>
                <w:rFonts w:ascii="Arial" w:hAnsi="Arial" w:cs="Arial"/>
                <w:sz w:val="20"/>
                <w:szCs w:val="20"/>
              </w:rPr>
            </w:pPr>
            <w:r>
              <w:rPr>
                <w:rFonts w:ascii="Arial" w:hAnsi="Arial" w:cs="Arial"/>
                <w:sz w:val="20"/>
                <w:szCs w:val="20"/>
                <w:u w:val="single"/>
              </w:rPr>
              <w:t xml:space="preserve">Legal Persons Where Beneficial Owner is Uncertain </w:t>
            </w:r>
            <w:r>
              <w:rPr>
                <w:rFonts w:ascii="Arial" w:hAnsi="Arial" w:cs="Arial"/>
                <w:sz w:val="20"/>
                <w:szCs w:val="20"/>
              </w:rPr>
              <w:t xml:space="preserve">This line item is intended to capture </w:t>
            </w:r>
            <w:r>
              <w:rPr>
                <w:rFonts w:ascii="Arial" w:hAnsi="Arial" w:cs="Arial"/>
                <w:sz w:val="20"/>
                <w:szCs w:val="20"/>
              </w:rPr>
              <w:lastRenderedPageBreak/>
              <w:t xml:space="preserve">cases in which the CMO has not independently verified the identity of the beneficial owner of the customer. The beneficial owner is the (ultimate) natural person who owns or controls the customer. Examples may include cases where the ownership structure is complex or obscure; it may involve one or more foreign entities (company or trust) in the ownership structure; the recorded owner could be a professional (lawyer, accountant, company services business); or one or more entities in the ownership chain might be registered in an offshore or other jurisdiction in which ownership information is not publicly accessible and, therefore, cannot be verified reliably. </w:t>
            </w:r>
          </w:p>
          <w:p w14:paraId="1E22F926" w14:textId="77777777" w:rsidR="003E6607" w:rsidRDefault="003E6607" w:rsidP="003E6607">
            <w:pPr>
              <w:pStyle w:val="CM4"/>
              <w:spacing w:after="235" w:line="231" w:lineRule="atLeast"/>
              <w:rPr>
                <w:rFonts w:ascii="Arial" w:hAnsi="Arial" w:cs="Arial"/>
                <w:sz w:val="20"/>
                <w:szCs w:val="20"/>
              </w:rPr>
            </w:pPr>
            <w:r>
              <w:rPr>
                <w:rFonts w:ascii="Arial" w:hAnsi="Arial" w:cs="Arial"/>
                <w:sz w:val="20"/>
                <w:szCs w:val="20"/>
                <w:u w:val="single"/>
              </w:rPr>
              <w:t xml:space="preserve">Pooled Accounts </w:t>
            </w:r>
            <w:r>
              <w:rPr>
                <w:rFonts w:ascii="Arial" w:hAnsi="Arial" w:cs="Arial"/>
                <w:sz w:val="20"/>
                <w:szCs w:val="20"/>
              </w:rPr>
              <w:t xml:space="preserve">This refers to accounts managed by professional intermediaries on behalf of entities such as mutual funds, pension funds and money funds as well as those accounts managed by accountants, lawyers or stockbrokers that represent funds held on deposit or in escrow for a range of clients.  </w:t>
            </w:r>
          </w:p>
          <w:p w14:paraId="3EBCE598" w14:textId="77777777" w:rsidR="003E6607" w:rsidRDefault="003E6607" w:rsidP="003E6607">
            <w:pPr>
              <w:pStyle w:val="CM4"/>
              <w:spacing w:after="235" w:line="231" w:lineRule="atLeast"/>
              <w:rPr>
                <w:rFonts w:ascii="Arial" w:hAnsi="Arial" w:cs="Arial"/>
                <w:sz w:val="20"/>
                <w:szCs w:val="20"/>
              </w:rPr>
            </w:pPr>
            <w:r>
              <w:rPr>
                <w:rFonts w:ascii="Arial" w:hAnsi="Arial" w:cs="Arial"/>
                <w:sz w:val="20"/>
                <w:szCs w:val="20"/>
                <w:u w:val="single"/>
              </w:rPr>
              <w:t xml:space="preserve">Investment Funds </w:t>
            </w:r>
            <w:r>
              <w:rPr>
                <w:rFonts w:ascii="Arial" w:hAnsi="Arial" w:cs="Arial"/>
                <w:sz w:val="20"/>
                <w:szCs w:val="20"/>
              </w:rPr>
              <w:t xml:space="preserve">This refers to investment products offered by CMOs which enable customers to invest in a range of financial instruments/assets, for example securities. These products differ from deposit products as the customer is exposed to the potential to lose funds depending on the performance of the underlying asset in which funds have been invested. </w:t>
            </w:r>
          </w:p>
          <w:p w14:paraId="6FC0DA4C" w14:textId="77777777" w:rsidR="003E6607" w:rsidRDefault="003E6607" w:rsidP="003E6607">
            <w:pPr>
              <w:pStyle w:val="CM2"/>
              <w:rPr>
                <w:rFonts w:ascii="Arial" w:hAnsi="Arial" w:cs="Arial"/>
                <w:sz w:val="20"/>
                <w:szCs w:val="20"/>
              </w:rPr>
            </w:pPr>
            <w:r>
              <w:rPr>
                <w:rFonts w:ascii="Arial" w:hAnsi="Arial" w:cs="Arial"/>
                <w:sz w:val="20"/>
                <w:szCs w:val="20"/>
                <w:u w:val="single"/>
              </w:rPr>
              <w:t xml:space="preserve">Economic Sectors Assessed as Higher ML/TF Risk </w:t>
            </w:r>
            <w:r>
              <w:rPr>
                <w:rFonts w:ascii="Arial" w:hAnsi="Arial" w:cs="Arial"/>
                <w:sz w:val="20"/>
                <w:szCs w:val="20"/>
              </w:rPr>
              <w:t>Add additional lines as needed and analyze separately any other categories of customer that are recognized by the CMO's internal risk management system as potentially presenting a higher risk of ML/TF.</w:t>
            </w:r>
          </w:p>
          <w:p w14:paraId="54838CE5" w14:textId="77777777" w:rsidR="003E6607" w:rsidRDefault="003E6607" w:rsidP="003E6607">
            <w:pPr>
              <w:pStyle w:val="CM2"/>
              <w:rPr>
                <w:rFonts w:ascii="Arial" w:hAnsi="Arial" w:cs="Arial"/>
                <w:sz w:val="20"/>
                <w:szCs w:val="20"/>
              </w:rPr>
            </w:pPr>
            <w:r>
              <w:rPr>
                <w:rFonts w:ascii="Arial" w:hAnsi="Arial" w:cs="Arial"/>
                <w:sz w:val="20"/>
                <w:szCs w:val="20"/>
              </w:rPr>
              <w:t xml:space="preserve"> </w:t>
            </w:r>
          </w:p>
          <w:p w14:paraId="55C10DA0" w14:textId="77777777" w:rsidR="003E6607" w:rsidRPr="003E6607" w:rsidRDefault="003E6607" w:rsidP="003E6607">
            <w:pPr>
              <w:pStyle w:val="Default"/>
              <w:rPr>
                <w:rFonts w:ascii="Arial" w:hAnsi="Arial" w:cs="Arial"/>
                <w:b/>
                <w:sz w:val="20"/>
                <w:szCs w:val="20"/>
              </w:rPr>
            </w:pPr>
            <w:r>
              <w:rPr>
                <w:rFonts w:ascii="Arial" w:hAnsi="Arial" w:cs="Arial"/>
                <w:sz w:val="20"/>
                <w:szCs w:val="20"/>
                <w:u w:val="single"/>
              </w:rPr>
              <w:t xml:space="preserve">Suspicious Transaction Reporting </w:t>
            </w:r>
            <w:r>
              <w:rPr>
                <w:rFonts w:ascii="Arial" w:hAnsi="Arial" w:cs="Arial"/>
                <w:sz w:val="20"/>
                <w:szCs w:val="20"/>
              </w:rPr>
              <w:t>CMOs should provide information on suspicious transaction reports. Firstly, CMOs should provide information on the number of suspicious transactions reports submitted to the FIC during the reporting period. CMOs should also provide information on suspicious transaction reports that are still under review by the CMO's Compliance officer pending determining whether or not to submit the report to the FIC. Finally, CMOs should report the number of suspicious transaction reports that it has determined not to submit to the FIC.</w:t>
            </w:r>
          </w:p>
        </w:tc>
      </w:tr>
    </w:tbl>
    <w:p w14:paraId="7BC06088" w14:textId="77777777" w:rsidR="00912105" w:rsidRPr="00C410E7" w:rsidRDefault="00912105" w:rsidP="008F2691">
      <w:pPr>
        <w:keepNext/>
      </w:pPr>
    </w:p>
    <w:sectPr w:rsidR="00912105" w:rsidRPr="00C410E7" w:rsidSect="00327493">
      <w:headerReference w:type="default" r:id="rId11"/>
      <w:footerReference w:type="default" r:id="rId12"/>
      <w:headerReference w:type="first" r:id="rId13"/>
      <w:footerReference w:type="first" r:id="rId14"/>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0119D" w14:textId="77777777" w:rsidR="00FC7CD4" w:rsidRDefault="00FC7CD4">
      <w:r>
        <w:separator/>
      </w:r>
    </w:p>
  </w:endnote>
  <w:endnote w:type="continuationSeparator" w:id="0">
    <w:p w14:paraId="1E7C9CF9" w14:textId="77777777" w:rsidR="00FC7CD4" w:rsidRDefault="00FC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61595" w14:textId="77777777" w:rsidR="0012222E" w:rsidRDefault="0012222E">
    <w:pPr>
      <w:pStyle w:val="Footer"/>
      <w:tabs>
        <w:tab w:val="clear" w:pos="8640"/>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D09C1" w14:textId="77777777" w:rsidR="0012222E" w:rsidRDefault="0012222E">
    <w:pPr>
      <w:pStyle w:val="Footer"/>
      <w:tabs>
        <w:tab w:val="clear" w:pos="864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0C412" w14:textId="77777777" w:rsidR="00FC7CD4" w:rsidRDefault="00FC7CD4">
      <w:r>
        <w:separator/>
      </w:r>
    </w:p>
  </w:footnote>
  <w:footnote w:type="continuationSeparator" w:id="0">
    <w:p w14:paraId="3E09CB05" w14:textId="77777777" w:rsidR="00FC7CD4" w:rsidRDefault="00FC7CD4">
      <w:r>
        <w:continuationSeparator/>
      </w:r>
    </w:p>
  </w:footnote>
  <w:footnote w:type="continuationNotice" w:id="1">
    <w:p w14:paraId="59113A10" w14:textId="77777777" w:rsidR="00FC7CD4" w:rsidRDefault="00FC7CD4">
      <w:pPr>
        <w:jc w:val="right"/>
      </w:pPr>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28516"/>
      <w:docPartObj>
        <w:docPartGallery w:val="Page Numbers (Top of Page)"/>
        <w:docPartUnique/>
      </w:docPartObj>
    </w:sdtPr>
    <w:sdtEndPr/>
    <w:sdtContent>
      <w:p w14:paraId="3B51BB30" w14:textId="2FB57F1A" w:rsidR="0012222E" w:rsidRDefault="00471684">
        <w:pPr>
          <w:pStyle w:val="Header"/>
          <w:jc w:val="center"/>
        </w:pPr>
        <w:r>
          <w:fldChar w:fldCharType="begin"/>
        </w:r>
        <w:r>
          <w:instrText xml:space="preserve"> PAGE   \* MERGEFORMAT </w:instrText>
        </w:r>
        <w:r>
          <w:fldChar w:fldCharType="separate"/>
        </w:r>
        <w:r w:rsidR="006A6A14">
          <w:rPr>
            <w:noProof/>
          </w:rPr>
          <w:t>2</w:t>
        </w:r>
        <w:r>
          <w:rPr>
            <w:noProof/>
          </w:rPr>
          <w:fldChar w:fldCharType="end"/>
        </w:r>
      </w:p>
    </w:sdtContent>
  </w:sdt>
  <w:p w14:paraId="4986EF56" w14:textId="77777777" w:rsidR="0012222E" w:rsidRDefault="00122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5FF0" w14:textId="77777777" w:rsidR="0012222E" w:rsidRPr="00246060" w:rsidRDefault="0012222E" w:rsidP="00246060">
    <w:pPr>
      <w:pStyle w:val="Header"/>
      <w:tabs>
        <w:tab w:val="clear" w:pos="4320"/>
        <w:tab w:val="clear" w:pos="8640"/>
        <w:tab w:val="right" w:pos="9000"/>
      </w:tabs>
      <w:rPr>
        <w:sz w:val="22"/>
      </w:rPr>
    </w:pPr>
    <w:r>
      <w:rPr>
        <w:sz w:val="22"/>
      </w:rPr>
      <w:tab/>
    </w:r>
  </w:p>
  <w:p w14:paraId="68136435" w14:textId="77777777" w:rsidR="0012222E" w:rsidRDefault="0012222E">
    <w:pPr>
      <w:pStyle w:val="Header"/>
      <w:tabs>
        <w:tab w:val="clear" w:pos="864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E443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5C17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321F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92FA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245FFA"/>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773775B"/>
    <w:multiLevelType w:val="hybridMultilevel"/>
    <w:tmpl w:val="56709E74"/>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44048"/>
    <w:multiLevelType w:val="hybridMultilevel"/>
    <w:tmpl w:val="AB8A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8C3FE3"/>
    <w:multiLevelType w:val="hybridMultilevel"/>
    <w:tmpl w:val="74B0E852"/>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1F47F0"/>
    <w:multiLevelType w:val="hybridMultilevel"/>
    <w:tmpl w:val="E94CB1F0"/>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8F065A"/>
    <w:multiLevelType w:val="hybridMultilevel"/>
    <w:tmpl w:val="BA32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85E71"/>
    <w:multiLevelType w:val="hybridMultilevel"/>
    <w:tmpl w:val="993044AE"/>
    <w:lvl w:ilvl="0" w:tplc="814821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A5699"/>
    <w:multiLevelType w:val="hybridMultilevel"/>
    <w:tmpl w:val="E7CAC4BC"/>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04012"/>
    <w:multiLevelType w:val="hybridMultilevel"/>
    <w:tmpl w:val="7DBC3CDA"/>
    <w:lvl w:ilvl="0" w:tplc="33FE229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B524FD"/>
    <w:multiLevelType w:val="hybridMultilevel"/>
    <w:tmpl w:val="6234BA24"/>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5526A"/>
    <w:multiLevelType w:val="hybridMultilevel"/>
    <w:tmpl w:val="EEE8CFCA"/>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D79CF"/>
    <w:multiLevelType w:val="hybridMultilevel"/>
    <w:tmpl w:val="BE94ED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05C0C"/>
    <w:multiLevelType w:val="hybridMultilevel"/>
    <w:tmpl w:val="22E89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95B39"/>
    <w:multiLevelType w:val="hybridMultilevel"/>
    <w:tmpl w:val="E99A7834"/>
    <w:lvl w:ilvl="0" w:tplc="33FE229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C022C7"/>
    <w:multiLevelType w:val="hybridMultilevel"/>
    <w:tmpl w:val="D31E9D92"/>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A15A1"/>
    <w:multiLevelType w:val="multilevel"/>
    <w:tmpl w:val="FAA42BFC"/>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26" w15:restartNumberingAfterBreak="0">
    <w:nsid w:val="76666ADB"/>
    <w:multiLevelType w:val="hybridMultilevel"/>
    <w:tmpl w:val="4B40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B259B"/>
    <w:multiLevelType w:val="hybridMultilevel"/>
    <w:tmpl w:val="CEB6C390"/>
    <w:lvl w:ilvl="0" w:tplc="33FE229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5"/>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13"/>
  </w:num>
  <w:num w:numId="22">
    <w:abstractNumId w:val="26"/>
  </w:num>
  <w:num w:numId="23">
    <w:abstractNumId w:val="15"/>
  </w:num>
  <w:num w:numId="24">
    <w:abstractNumId w:val="11"/>
  </w:num>
  <w:num w:numId="25">
    <w:abstractNumId w:val="16"/>
  </w:num>
  <w:num w:numId="26">
    <w:abstractNumId w:val="22"/>
  </w:num>
  <w:num w:numId="27">
    <w:abstractNumId w:val="18"/>
  </w:num>
  <w:num w:numId="28">
    <w:abstractNumId w:val="10"/>
  </w:num>
  <w:num w:numId="29">
    <w:abstractNumId w:val="19"/>
  </w:num>
  <w:num w:numId="30">
    <w:abstractNumId w:val="12"/>
  </w:num>
  <w:num w:numId="31">
    <w:abstractNumId w:val="17"/>
  </w:num>
  <w:num w:numId="32">
    <w:abstractNumId w:val="24"/>
  </w:num>
  <w:num w:numId="33">
    <w:abstractNumId w:val="14"/>
  </w:num>
  <w:num w:numId="34">
    <w:abstractNumId w:val="23"/>
  </w:num>
  <w:num w:numId="35">
    <w:abstractNumId w:val="27"/>
  </w:num>
  <w:num w:numId="36">
    <w:abstractNumId w:val="2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0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D4"/>
    <w:rsid w:val="00040D64"/>
    <w:rsid w:val="00047A8E"/>
    <w:rsid w:val="0006211B"/>
    <w:rsid w:val="000926EA"/>
    <w:rsid w:val="000A7E0C"/>
    <w:rsid w:val="000C0E90"/>
    <w:rsid w:val="000E4648"/>
    <w:rsid w:val="000F2CB0"/>
    <w:rsid w:val="0012222E"/>
    <w:rsid w:val="001420E0"/>
    <w:rsid w:val="00151A90"/>
    <w:rsid w:val="0015268B"/>
    <w:rsid w:val="00152D21"/>
    <w:rsid w:val="00154F8C"/>
    <w:rsid w:val="001762DA"/>
    <w:rsid w:val="001777FF"/>
    <w:rsid w:val="001903B2"/>
    <w:rsid w:val="001B41F6"/>
    <w:rsid w:val="001C2A4F"/>
    <w:rsid w:val="001C513B"/>
    <w:rsid w:val="001C641C"/>
    <w:rsid w:val="001E04DD"/>
    <w:rsid w:val="001E5D39"/>
    <w:rsid w:val="001E781A"/>
    <w:rsid w:val="001E7986"/>
    <w:rsid w:val="00213962"/>
    <w:rsid w:val="002221C9"/>
    <w:rsid w:val="002279AB"/>
    <w:rsid w:val="00245EF4"/>
    <w:rsid w:val="00246060"/>
    <w:rsid w:val="00257BE1"/>
    <w:rsid w:val="0026790C"/>
    <w:rsid w:val="002871FC"/>
    <w:rsid w:val="002D67E6"/>
    <w:rsid w:val="002E0D6C"/>
    <w:rsid w:val="00300DF2"/>
    <w:rsid w:val="00311FF7"/>
    <w:rsid w:val="00327493"/>
    <w:rsid w:val="003647D8"/>
    <w:rsid w:val="0037124D"/>
    <w:rsid w:val="0038082B"/>
    <w:rsid w:val="0038706B"/>
    <w:rsid w:val="003B76D1"/>
    <w:rsid w:val="003C02B9"/>
    <w:rsid w:val="003C6BB9"/>
    <w:rsid w:val="003D3FB7"/>
    <w:rsid w:val="003D4042"/>
    <w:rsid w:val="003E166B"/>
    <w:rsid w:val="003E3F0D"/>
    <w:rsid w:val="003E5BBC"/>
    <w:rsid w:val="003E6607"/>
    <w:rsid w:val="003E6803"/>
    <w:rsid w:val="003E7BE2"/>
    <w:rsid w:val="003F62BA"/>
    <w:rsid w:val="00401A75"/>
    <w:rsid w:val="00412EE5"/>
    <w:rsid w:val="00467C82"/>
    <w:rsid w:val="00471684"/>
    <w:rsid w:val="004845A6"/>
    <w:rsid w:val="004872AE"/>
    <w:rsid w:val="00492BC3"/>
    <w:rsid w:val="004B2C14"/>
    <w:rsid w:val="004F452C"/>
    <w:rsid w:val="004F71BF"/>
    <w:rsid w:val="00526C8B"/>
    <w:rsid w:val="005301E7"/>
    <w:rsid w:val="005340A4"/>
    <w:rsid w:val="00541726"/>
    <w:rsid w:val="00547CDC"/>
    <w:rsid w:val="005A33E8"/>
    <w:rsid w:val="005C5B16"/>
    <w:rsid w:val="005C708C"/>
    <w:rsid w:val="005C7ED3"/>
    <w:rsid w:val="005E43E2"/>
    <w:rsid w:val="005F60AB"/>
    <w:rsid w:val="00604030"/>
    <w:rsid w:val="00610463"/>
    <w:rsid w:val="006176C4"/>
    <w:rsid w:val="006307DE"/>
    <w:rsid w:val="00647B6E"/>
    <w:rsid w:val="0066301D"/>
    <w:rsid w:val="0066323E"/>
    <w:rsid w:val="00664862"/>
    <w:rsid w:val="006752DE"/>
    <w:rsid w:val="006A6138"/>
    <w:rsid w:val="006A6A14"/>
    <w:rsid w:val="006B7E88"/>
    <w:rsid w:val="006D189D"/>
    <w:rsid w:val="006D2BCA"/>
    <w:rsid w:val="00703112"/>
    <w:rsid w:val="00704CF5"/>
    <w:rsid w:val="007141E9"/>
    <w:rsid w:val="007376A5"/>
    <w:rsid w:val="007817BF"/>
    <w:rsid w:val="00791184"/>
    <w:rsid w:val="00793705"/>
    <w:rsid w:val="007D6B5A"/>
    <w:rsid w:val="007E0A22"/>
    <w:rsid w:val="007E74D2"/>
    <w:rsid w:val="007F5131"/>
    <w:rsid w:val="00801BE9"/>
    <w:rsid w:val="00811951"/>
    <w:rsid w:val="00823B0E"/>
    <w:rsid w:val="00840E44"/>
    <w:rsid w:val="00850254"/>
    <w:rsid w:val="00860616"/>
    <w:rsid w:val="00870061"/>
    <w:rsid w:val="00890E49"/>
    <w:rsid w:val="008A5E8C"/>
    <w:rsid w:val="008B295B"/>
    <w:rsid w:val="008E3FCD"/>
    <w:rsid w:val="008F2691"/>
    <w:rsid w:val="00911A3B"/>
    <w:rsid w:val="00912105"/>
    <w:rsid w:val="00936583"/>
    <w:rsid w:val="00952688"/>
    <w:rsid w:val="00967072"/>
    <w:rsid w:val="00983994"/>
    <w:rsid w:val="00992232"/>
    <w:rsid w:val="00994A05"/>
    <w:rsid w:val="009A6646"/>
    <w:rsid w:val="009C61BE"/>
    <w:rsid w:val="009C77CB"/>
    <w:rsid w:val="009D2E12"/>
    <w:rsid w:val="009F4DBC"/>
    <w:rsid w:val="009F51CE"/>
    <w:rsid w:val="009F6EFC"/>
    <w:rsid w:val="009F7991"/>
    <w:rsid w:val="00A00641"/>
    <w:rsid w:val="00A258CC"/>
    <w:rsid w:val="00A40434"/>
    <w:rsid w:val="00A641B3"/>
    <w:rsid w:val="00A8205A"/>
    <w:rsid w:val="00A9049F"/>
    <w:rsid w:val="00A95015"/>
    <w:rsid w:val="00AA26D2"/>
    <w:rsid w:val="00AB12CC"/>
    <w:rsid w:val="00AD270F"/>
    <w:rsid w:val="00AE6827"/>
    <w:rsid w:val="00AE6C05"/>
    <w:rsid w:val="00AF2128"/>
    <w:rsid w:val="00AF36FB"/>
    <w:rsid w:val="00AF7A85"/>
    <w:rsid w:val="00B07FC3"/>
    <w:rsid w:val="00B22249"/>
    <w:rsid w:val="00B32C83"/>
    <w:rsid w:val="00B637D0"/>
    <w:rsid w:val="00B85654"/>
    <w:rsid w:val="00B925B1"/>
    <w:rsid w:val="00B95EFB"/>
    <w:rsid w:val="00BC0948"/>
    <w:rsid w:val="00BD0AB0"/>
    <w:rsid w:val="00BD267A"/>
    <w:rsid w:val="00BF3B37"/>
    <w:rsid w:val="00C0595C"/>
    <w:rsid w:val="00C16A44"/>
    <w:rsid w:val="00C17EBA"/>
    <w:rsid w:val="00C314A3"/>
    <w:rsid w:val="00C410E7"/>
    <w:rsid w:val="00C6679F"/>
    <w:rsid w:val="00C9360F"/>
    <w:rsid w:val="00CB3CFA"/>
    <w:rsid w:val="00CD017B"/>
    <w:rsid w:val="00CD2290"/>
    <w:rsid w:val="00CD7B0F"/>
    <w:rsid w:val="00CE1640"/>
    <w:rsid w:val="00CF3346"/>
    <w:rsid w:val="00D041E2"/>
    <w:rsid w:val="00D26BB7"/>
    <w:rsid w:val="00D47014"/>
    <w:rsid w:val="00D73297"/>
    <w:rsid w:val="00D8554A"/>
    <w:rsid w:val="00DA5704"/>
    <w:rsid w:val="00DB0089"/>
    <w:rsid w:val="00DB7192"/>
    <w:rsid w:val="00DC05CF"/>
    <w:rsid w:val="00DC7EB4"/>
    <w:rsid w:val="00DE48EF"/>
    <w:rsid w:val="00DF3307"/>
    <w:rsid w:val="00E234F7"/>
    <w:rsid w:val="00E2383A"/>
    <w:rsid w:val="00E438D6"/>
    <w:rsid w:val="00E46358"/>
    <w:rsid w:val="00E5132E"/>
    <w:rsid w:val="00E636CF"/>
    <w:rsid w:val="00E77E0C"/>
    <w:rsid w:val="00E85A2D"/>
    <w:rsid w:val="00E919BF"/>
    <w:rsid w:val="00E97043"/>
    <w:rsid w:val="00EA597F"/>
    <w:rsid w:val="00EC50F2"/>
    <w:rsid w:val="00EC67A0"/>
    <w:rsid w:val="00EF1CB4"/>
    <w:rsid w:val="00F02EEC"/>
    <w:rsid w:val="00F0638B"/>
    <w:rsid w:val="00F16997"/>
    <w:rsid w:val="00F2553D"/>
    <w:rsid w:val="00F3380E"/>
    <w:rsid w:val="00F34135"/>
    <w:rsid w:val="00F77AE5"/>
    <w:rsid w:val="00F8028C"/>
    <w:rsid w:val="00FC7C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1F210E4B"/>
  <w15:docId w15:val="{2D48B149-9D6F-4887-BCE8-0FF2F0F1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line="264" w:lineRule="auto"/>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8" w:unhideWhenUsed="1"/>
    <w:lsdException w:name="footnote text" w:semiHidden="1" w:unhideWhenUsed="1"/>
    <w:lsdException w:name="annotation text" w:semiHidden="1" w:uiPriority="8" w:unhideWhenUsed="1"/>
    <w:lsdException w:name="header" w:semiHidden="1" w:uiPriority="99" w:unhideWhenUsed="1"/>
    <w:lsdException w:name="footer" w:semiHidden="1" w:unhideWhenUsed="1"/>
    <w:lsdException w:name="index heading" w:semiHidden="1" w:uiPriority="8" w:unhideWhenUsed="1"/>
    <w:lsdException w:name="caption" w:semiHidden="1" w:uiPriority="8" w:unhideWhenUsed="1" w:qFormat="1"/>
    <w:lsdException w:name="table of figures" w:semiHidden="1" w:uiPriority="8" w:unhideWhenUsed="1"/>
    <w:lsdException w:name="envelope address" w:semiHidden="1" w:uiPriority="8" w:unhideWhenUsed="1"/>
    <w:lsdException w:name="envelope return" w:semiHidden="1" w:uiPriority="8" w:unhideWhenUsed="1"/>
    <w:lsdException w:name="footnote reference" w:semiHidden="1" w:unhideWhenUsed="1"/>
    <w:lsdException w:name="annotation reference" w:semiHidden="1" w:uiPriority="8" w:unhideWhenUsed="1"/>
    <w:lsdException w:name="line number" w:semiHidden="1" w:uiPriority="8" w:unhideWhenUsed="1"/>
    <w:lsdException w:name="page number" w:semiHidden="1" w:uiPriority="8" w:unhideWhenUsed="1"/>
    <w:lsdException w:name="endnote reference" w:semiHidden="1" w:uiPriority="8" w:unhideWhenUsed="1"/>
    <w:lsdException w:name="endnote text" w:semiHidden="1" w:uiPriority="8" w:unhideWhenUsed="1"/>
    <w:lsdException w:name="table of authorities" w:semiHidden="1" w:uiPriority="8" w:unhideWhenUsed="1"/>
    <w:lsdException w:name="macro" w:semiHidden="1" w:uiPriority="8" w:unhideWhenUsed="1"/>
    <w:lsdException w:name="toa heading" w:uiPriority="8"/>
    <w:lsdException w:name="List" w:semiHidden="1" w:uiPriority="8" w:unhideWhenUsed="1"/>
    <w:lsdException w:name="List Bullet" w:semiHidden="1" w:unhideWhenUsed="1" w:qFormat="1"/>
    <w:lsdException w:name="List Number" w:uiPriority="8"/>
    <w:lsdException w:name="List 2" w:uiPriority="8"/>
    <w:lsdException w:name="List 3" w:semiHidden="1" w:uiPriority="8" w:unhideWhenUsed="1"/>
    <w:lsdException w:name="List 4" w:semiHidden="1" w:uiPriority="8" w:unhideWhenUsed="1"/>
    <w:lsdException w:name="List 5" w:semiHidden="1" w:uiPriority="8"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iPriority="8" w:unhideWhenUsed="1"/>
    <w:lsdException w:name="List Number 4" w:semiHidden="1" w:uiPriority="8" w:unhideWhenUsed="1"/>
    <w:lsdException w:name="List Number 5" w:semiHidden="1" w:uiPriority="8" w:unhideWhenUsed="1"/>
    <w:lsdException w:name="Closing" w:semiHidden="1" w:uiPriority="8" w:unhideWhenUsed="1"/>
    <w:lsdException w:name="Signature" w:semiHidden="1" w:uiPriority="8" w:unhideWhenUsed="1"/>
    <w:lsdException w:name="Default Paragraph Font" w:semiHidden="1" w:unhideWhenUsed="1"/>
    <w:lsdException w:name="Body Text" w:semiHidden="1" w:uiPriority="8" w:unhideWhenUsed="1"/>
    <w:lsdException w:name="Body Text Indent" w:semiHidden="1" w:uiPriority="8" w:unhideWhenUsed="1"/>
    <w:lsdException w:name="List Continue" w:semiHidden="1" w:uiPriority="8" w:unhideWhenUsed="1"/>
    <w:lsdException w:name="List Continue 2" w:semiHidden="1" w:uiPriority="8" w:unhideWhenUsed="1"/>
    <w:lsdException w:name="List Continue 3" w:semiHidden="1" w:uiPriority="8" w:unhideWhenUsed="1"/>
    <w:lsdException w:name="List Continue 4" w:uiPriority="8"/>
    <w:lsdException w:name="List Continue 5" w:uiPriority="8"/>
    <w:lsdException w:name="Message Header" w:uiPriority="8"/>
    <w:lsdException w:name="Subtitle" w:uiPriority="8"/>
    <w:lsdException w:name="Salutation" w:semiHidden="1" w:uiPriority="8" w:unhideWhenUsed="1"/>
    <w:lsdException w:name="Date" w:semiHidden="1" w:uiPriority="8" w:unhideWhenUsed="1"/>
    <w:lsdException w:name="Body Text First Indent" w:semiHidden="1" w:uiPriority="8" w:unhideWhenUsed="1"/>
    <w:lsdException w:name="Body Text First Indent 2" w:semiHidden="1" w:uiPriority="8" w:unhideWhenUsed="1"/>
    <w:lsdException w:name="Note Heading" w:semiHidden="1" w:uiPriority="8" w:unhideWhenUsed="1"/>
    <w:lsdException w:name="Body Text 2" w:semiHidden="1" w:uiPriority="8" w:unhideWhenUsed="1"/>
    <w:lsdException w:name="Body Text 3" w:semiHidden="1" w:uiPriority="8" w:unhideWhenUsed="1"/>
    <w:lsdException w:name="Body Text Indent 2" w:semiHidden="1" w:uiPriority="8" w:unhideWhenUsed="1"/>
    <w:lsdException w:name="Body Text Indent 3" w:semiHidden="1" w:uiPriority="8" w:unhideWhenUsed="1"/>
    <w:lsdException w:name="Block Text" w:semiHidden="1" w:uiPriority="8" w:unhideWhenUsed="1"/>
    <w:lsdException w:name="Hyperlink" w:semiHidden="1" w:uiPriority="8" w:unhideWhenUsed="1"/>
    <w:lsdException w:name="FollowedHyperlink" w:semiHidden="1" w:uiPriority="8" w:unhideWhenUsed="1"/>
    <w:lsdException w:name="Strong" w:uiPriority="8" w:qFormat="1"/>
    <w:lsdException w:name="Emphasis" w:uiPriority="8" w:qFormat="1"/>
    <w:lsdException w:name="Document Map" w:semiHidden="1" w:uiPriority="8" w:unhideWhenUsed="1"/>
    <w:lsdException w:name="Plain Text" w:semiHidden="1" w:uiPriority="8" w:unhideWhenUsed="1"/>
    <w:lsdException w:name="E-mail Signature" w:semiHidden="1" w:uiPriority="8" w:unhideWhenUsed="1"/>
    <w:lsdException w:name="HTML Top of Form" w:semiHidden="1" w:unhideWhenUsed="1"/>
    <w:lsdException w:name="HTML Bottom of Form" w:semiHidden="1" w:unhideWhenUsed="1"/>
    <w:lsdException w:name="Normal (Web)" w:semiHidden="1" w:uiPriority="8" w:unhideWhenUsed="1"/>
    <w:lsdException w:name="HTML Acronym" w:semiHidden="1" w:uiPriority="8" w:unhideWhenUsed="1"/>
    <w:lsdException w:name="HTML Address" w:semiHidden="1" w:uiPriority="8" w:unhideWhenUsed="1"/>
    <w:lsdException w:name="HTML Cite" w:semiHidden="1" w:uiPriority="8" w:unhideWhenUsed="1"/>
    <w:lsdException w:name="HTML Code" w:semiHidden="1" w:uiPriority="8" w:unhideWhenUsed="1"/>
    <w:lsdException w:name="HTML Definition" w:semiHidden="1" w:uiPriority="8" w:unhideWhenUsed="1"/>
    <w:lsdException w:name="HTML Keyboard" w:semiHidden="1" w:uiPriority="8" w:unhideWhenUsed="1"/>
    <w:lsdException w:name="HTML Preformatted" w:semiHidden="1" w:uiPriority="8" w:unhideWhenUsed="1"/>
    <w:lsdException w:name="HTML Sample" w:semiHidden="1" w:uiPriority="8" w:unhideWhenUsed="1"/>
    <w:lsdException w:name="HTML Typewriter" w:semiHidden="1" w:uiPriority="8" w:unhideWhenUsed="1"/>
    <w:lsdException w:name="HTML Variable" w:semiHidden="1" w:uiPriority="8" w:unhideWhenUsed="1"/>
    <w:lsdException w:name="Normal Table" w:semiHidden="1" w:unhideWhenUsed="1"/>
    <w:lsdException w:name="annotation subject" w:semiHidden="1" w:uiPriority="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8"/>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2"/>
    <w:lsdException w:name="Quote" w:uiPriority="37" w:qFormat="1"/>
    <w:lsdException w:name="Intense Quote" w:uiPriority="3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7"/>
    <w:lsdException w:name="Intense Emphasis" w:uiPriority="29"/>
    <w:lsdException w:name="Subtle Reference" w:uiPriority="39"/>
    <w:lsdException w:name="Intense Reference" w:uiPriority="40"/>
    <w:lsdException w:name="Book Title" w:uiPriority="41" w:qFormat="1"/>
    <w:lsdException w:name="Bibliography" w:semiHidden="1" w:uiPriority="45" w:unhideWhenUsed="1"/>
    <w:lsdException w:name="TOC Heading"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47D8"/>
    <w:rPr>
      <w:sz w:val="24"/>
      <w:szCs w:val="24"/>
    </w:rPr>
  </w:style>
  <w:style w:type="paragraph" w:styleId="Heading1">
    <w:name w:val="heading 1"/>
    <w:basedOn w:val="Normal"/>
    <w:next w:val="Normal"/>
    <w:uiPriority w:val="3"/>
    <w:qFormat/>
    <w:rsid w:val="00327493"/>
    <w:pPr>
      <w:keepNext/>
      <w:numPr>
        <w:numId w:val="14"/>
      </w:numPr>
      <w:spacing w:after="240"/>
      <w:jc w:val="center"/>
      <w:outlineLvl w:val="0"/>
    </w:pPr>
    <w:rPr>
      <w:rFonts w:cs="Arial"/>
      <w:b/>
      <w:bCs/>
      <w:smallCaps/>
      <w:kern w:val="28"/>
      <w:szCs w:val="32"/>
    </w:rPr>
  </w:style>
  <w:style w:type="paragraph" w:styleId="Heading2">
    <w:name w:val="heading 2"/>
    <w:basedOn w:val="Normal"/>
    <w:next w:val="Normal"/>
    <w:uiPriority w:val="4"/>
    <w:qFormat/>
    <w:rsid w:val="00327493"/>
    <w:pPr>
      <w:keepNext/>
      <w:numPr>
        <w:ilvl w:val="1"/>
        <w:numId w:val="14"/>
      </w:numPr>
      <w:spacing w:after="240"/>
      <w:jc w:val="center"/>
      <w:outlineLvl w:val="1"/>
    </w:pPr>
    <w:rPr>
      <w:rFonts w:cs="Arial"/>
      <w:b/>
      <w:bCs/>
      <w:iCs/>
      <w:szCs w:val="28"/>
    </w:rPr>
  </w:style>
  <w:style w:type="paragraph" w:styleId="Heading3">
    <w:name w:val="heading 3"/>
    <w:basedOn w:val="Normal"/>
    <w:next w:val="Normal"/>
    <w:uiPriority w:val="5"/>
    <w:qFormat/>
    <w:rsid w:val="00327493"/>
    <w:pPr>
      <w:keepNext/>
      <w:spacing w:after="240"/>
      <w:outlineLvl w:val="2"/>
    </w:pPr>
    <w:rPr>
      <w:rFonts w:cs="Arial"/>
      <w:b/>
      <w:bCs/>
      <w:szCs w:val="26"/>
    </w:rPr>
  </w:style>
  <w:style w:type="paragraph" w:styleId="Heading4">
    <w:name w:val="heading 4"/>
    <w:basedOn w:val="Normal"/>
    <w:next w:val="Normal"/>
    <w:uiPriority w:val="6"/>
    <w:qFormat/>
    <w:rsid w:val="00327493"/>
    <w:pPr>
      <w:keepNext/>
      <w:spacing w:after="240"/>
      <w:outlineLvl w:val="3"/>
    </w:pPr>
    <w:rPr>
      <w:b/>
      <w:bCs/>
      <w:i/>
      <w:szCs w:val="28"/>
    </w:rPr>
  </w:style>
  <w:style w:type="paragraph" w:styleId="Heading5">
    <w:name w:val="heading 5"/>
    <w:basedOn w:val="Normal"/>
    <w:next w:val="Normal"/>
    <w:uiPriority w:val="7"/>
    <w:qFormat/>
    <w:rsid w:val="00327493"/>
    <w:pPr>
      <w:keepNext/>
      <w:spacing w:after="240"/>
      <w:outlineLvl w:val="4"/>
    </w:pPr>
    <w:rPr>
      <w:bCs/>
      <w:i/>
      <w:iCs/>
      <w:szCs w:val="26"/>
    </w:rPr>
  </w:style>
  <w:style w:type="paragraph" w:styleId="Heading6">
    <w:name w:val="heading 6"/>
    <w:basedOn w:val="Normal"/>
    <w:next w:val="Normal"/>
    <w:uiPriority w:val="8"/>
    <w:rsid w:val="00327493"/>
    <w:pPr>
      <w:outlineLvl w:val="5"/>
    </w:pPr>
    <w:rPr>
      <w:bCs/>
      <w:szCs w:val="22"/>
    </w:rPr>
  </w:style>
  <w:style w:type="paragraph" w:styleId="Heading7">
    <w:name w:val="heading 7"/>
    <w:basedOn w:val="Normal"/>
    <w:next w:val="Normal"/>
    <w:uiPriority w:val="8"/>
    <w:rsid w:val="00327493"/>
    <w:pPr>
      <w:outlineLvl w:val="6"/>
    </w:pPr>
  </w:style>
  <w:style w:type="paragraph" w:styleId="Heading8">
    <w:name w:val="heading 8"/>
    <w:basedOn w:val="Normal"/>
    <w:next w:val="Normal"/>
    <w:uiPriority w:val="8"/>
    <w:rsid w:val="00327493"/>
    <w:pPr>
      <w:outlineLvl w:val="7"/>
    </w:pPr>
    <w:rPr>
      <w:iCs/>
    </w:rPr>
  </w:style>
  <w:style w:type="paragraph" w:styleId="Heading9">
    <w:name w:val="heading 9"/>
    <w:basedOn w:val="Normal"/>
    <w:next w:val="Normal"/>
    <w:uiPriority w:val="8"/>
    <w:rsid w:val="0032749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493"/>
    <w:pPr>
      <w:tabs>
        <w:tab w:val="center" w:pos="4320"/>
        <w:tab w:val="right" w:pos="8640"/>
      </w:tabs>
    </w:pPr>
  </w:style>
  <w:style w:type="paragraph" w:styleId="FootnoteText">
    <w:name w:val="footnote text"/>
    <w:basedOn w:val="Normal"/>
    <w:uiPriority w:val="8"/>
    <w:rsid w:val="00327493"/>
    <w:pPr>
      <w:spacing w:after="200"/>
    </w:pPr>
    <w:rPr>
      <w:sz w:val="20"/>
      <w:szCs w:val="20"/>
    </w:rPr>
  </w:style>
  <w:style w:type="paragraph" w:customStyle="1" w:styleId="ParagraphNumbering">
    <w:name w:val="Paragraph Numbering"/>
    <w:basedOn w:val="Normal"/>
    <w:uiPriority w:val="1"/>
    <w:qFormat/>
    <w:rsid w:val="00952688"/>
    <w:pPr>
      <w:numPr>
        <w:numId w:val="21"/>
      </w:numPr>
      <w:spacing w:after="240"/>
    </w:pPr>
  </w:style>
  <w:style w:type="paragraph" w:styleId="Footer">
    <w:name w:val="footer"/>
    <w:basedOn w:val="Normal"/>
    <w:uiPriority w:val="8"/>
    <w:rsid w:val="00327493"/>
    <w:pPr>
      <w:tabs>
        <w:tab w:val="center" w:pos="4320"/>
        <w:tab w:val="right" w:pos="8640"/>
      </w:tabs>
    </w:pPr>
  </w:style>
  <w:style w:type="character" w:styleId="FootnoteReference">
    <w:name w:val="footnote reference"/>
    <w:basedOn w:val="DefaultParagraphFont"/>
    <w:uiPriority w:val="8"/>
    <w:rsid w:val="00327493"/>
    <w:rPr>
      <w:sz w:val="20"/>
      <w:vertAlign w:val="superscript"/>
    </w:rPr>
  </w:style>
  <w:style w:type="paragraph" w:customStyle="1" w:styleId="Appendix">
    <w:name w:val="Appendix"/>
    <w:basedOn w:val="Normal"/>
    <w:uiPriority w:val="8"/>
    <w:qFormat/>
    <w:rsid w:val="00327493"/>
    <w:pPr>
      <w:jc w:val="center"/>
    </w:pPr>
    <w:rPr>
      <w:b/>
    </w:rPr>
  </w:style>
  <w:style w:type="paragraph" w:styleId="ListBullet">
    <w:name w:val="List Bullet"/>
    <w:basedOn w:val="Normal"/>
    <w:uiPriority w:val="2"/>
    <w:qFormat/>
    <w:rsid w:val="00327493"/>
    <w:pPr>
      <w:numPr>
        <w:numId w:val="15"/>
      </w:numPr>
      <w:spacing w:after="240"/>
    </w:pPr>
  </w:style>
  <w:style w:type="paragraph" w:styleId="TOC1">
    <w:name w:val="toc 1"/>
    <w:basedOn w:val="Normal"/>
    <w:next w:val="Normal"/>
    <w:uiPriority w:val="8"/>
    <w:rsid w:val="00327493"/>
  </w:style>
  <w:style w:type="paragraph" w:styleId="TOC2">
    <w:name w:val="toc 2"/>
    <w:basedOn w:val="Normal"/>
    <w:next w:val="Normal"/>
    <w:uiPriority w:val="8"/>
    <w:rsid w:val="00327493"/>
    <w:pPr>
      <w:ind w:left="240"/>
    </w:pPr>
  </w:style>
  <w:style w:type="paragraph" w:styleId="TOC3">
    <w:name w:val="toc 3"/>
    <w:basedOn w:val="Normal"/>
    <w:next w:val="Normal"/>
    <w:uiPriority w:val="8"/>
    <w:rsid w:val="00327493"/>
    <w:pPr>
      <w:ind w:left="480"/>
    </w:pPr>
  </w:style>
  <w:style w:type="paragraph" w:styleId="TOC4">
    <w:name w:val="toc 4"/>
    <w:basedOn w:val="Normal"/>
    <w:next w:val="Normal"/>
    <w:uiPriority w:val="8"/>
    <w:rsid w:val="00327493"/>
    <w:pPr>
      <w:ind w:left="720"/>
    </w:pPr>
  </w:style>
  <w:style w:type="paragraph" w:styleId="TOC5">
    <w:name w:val="toc 5"/>
    <w:basedOn w:val="Normal"/>
    <w:next w:val="Normal"/>
    <w:uiPriority w:val="8"/>
    <w:rsid w:val="00327493"/>
    <w:pPr>
      <w:ind w:left="960"/>
    </w:pPr>
  </w:style>
  <w:style w:type="paragraph" w:styleId="TOC6">
    <w:name w:val="toc 6"/>
    <w:basedOn w:val="Normal"/>
    <w:next w:val="Normal"/>
    <w:uiPriority w:val="8"/>
    <w:rsid w:val="00327493"/>
    <w:pPr>
      <w:ind w:left="1200"/>
    </w:pPr>
  </w:style>
  <w:style w:type="paragraph" w:styleId="TOC7">
    <w:name w:val="toc 7"/>
    <w:basedOn w:val="Normal"/>
    <w:next w:val="Normal"/>
    <w:uiPriority w:val="8"/>
    <w:rsid w:val="00327493"/>
    <w:pPr>
      <w:ind w:left="1440"/>
    </w:pPr>
  </w:style>
  <w:style w:type="paragraph" w:styleId="TOC8">
    <w:name w:val="toc 8"/>
    <w:basedOn w:val="Normal"/>
    <w:next w:val="Normal"/>
    <w:uiPriority w:val="8"/>
    <w:rsid w:val="00327493"/>
    <w:pPr>
      <w:ind w:left="1680"/>
    </w:pPr>
  </w:style>
  <w:style w:type="paragraph" w:styleId="TOC9">
    <w:name w:val="toc 9"/>
    <w:basedOn w:val="Normal"/>
    <w:next w:val="Normal"/>
    <w:uiPriority w:val="8"/>
    <w:rsid w:val="00327493"/>
    <w:pPr>
      <w:ind w:left="1920"/>
    </w:pPr>
  </w:style>
  <w:style w:type="paragraph" w:styleId="Index1">
    <w:name w:val="index 1"/>
    <w:basedOn w:val="Normal"/>
    <w:next w:val="Normal"/>
    <w:uiPriority w:val="8"/>
    <w:rsid w:val="00327493"/>
    <w:pPr>
      <w:ind w:left="240" w:hanging="240"/>
    </w:pPr>
  </w:style>
  <w:style w:type="paragraph" w:styleId="Index2">
    <w:name w:val="index 2"/>
    <w:basedOn w:val="Normal"/>
    <w:next w:val="Normal"/>
    <w:uiPriority w:val="8"/>
    <w:rsid w:val="00327493"/>
    <w:pPr>
      <w:ind w:left="480" w:hanging="240"/>
    </w:pPr>
  </w:style>
  <w:style w:type="paragraph" w:styleId="Index3">
    <w:name w:val="index 3"/>
    <w:basedOn w:val="Normal"/>
    <w:next w:val="Normal"/>
    <w:uiPriority w:val="8"/>
    <w:rsid w:val="00327493"/>
    <w:pPr>
      <w:ind w:left="720" w:hanging="240"/>
    </w:pPr>
  </w:style>
  <w:style w:type="paragraph" w:styleId="Index4">
    <w:name w:val="index 4"/>
    <w:basedOn w:val="Normal"/>
    <w:next w:val="Normal"/>
    <w:uiPriority w:val="8"/>
    <w:rsid w:val="00327493"/>
    <w:pPr>
      <w:ind w:left="960" w:hanging="240"/>
    </w:pPr>
  </w:style>
  <w:style w:type="paragraph" w:styleId="Index5">
    <w:name w:val="index 5"/>
    <w:basedOn w:val="Normal"/>
    <w:next w:val="Normal"/>
    <w:uiPriority w:val="8"/>
    <w:rsid w:val="00327493"/>
    <w:pPr>
      <w:ind w:left="1200" w:hanging="240"/>
    </w:pPr>
  </w:style>
  <w:style w:type="paragraph" w:styleId="Index6">
    <w:name w:val="index 6"/>
    <w:basedOn w:val="Normal"/>
    <w:next w:val="Normal"/>
    <w:uiPriority w:val="8"/>
    <w:rsid w:val="00327493"/>
    <w:pPr>
      <w:ind w:left="1440" w:hanging="240"/>
    </w:pPr>
  </w:style>
  <w:style w:type="paragraph" w:styleId="Index7">
    <w:name w:val="index 7"/>
    <w:basedOn w:val="Normal"/>
    <w:next w:val="Normal"/>
    <w:uiPriority w:val="8"/>
    <w:rsid w:val="00327493"/>
    <w:pPr>
      <w:ind w:left="1680" w:hanging="240"/>
    </w:pPr>
  </w:style>
  <w:style w:type="paragraph" w:styleId="Index8">
    <w:name w:val="index 8"/>
    <w:basedOn w:val="Normal"/>
    <w:next w:val="Normal"/>
    <w:uiPriority w:val="8"/>
    <w:rsid w:val="00327493"/>
    <w:pPr>
      <w:ind w:left="1920" w:hanging="240"/>
    </w:pPr>
  </w:style>
  <w:style w:type="paragraph" w:styleId="Index9">
    <w:name w:val="index 9"/>
    <w:basedOn w:val="Normal"/>
    <w:next w:val="Normal"/>
    <w:uiPriority w:val="8"/>
    <w:rsid w:val="00327493"/>
    <w:pPr>
      <w:ind w:left="2160" w:hanging="240"/>
    </w:pPr>
  </w:style>
  <w:style w:type="paragraph" w:styleId="ListBullet2">
    <w:name w:val="List Bullet 2"/>
    <w:basedOn w:val="Normal"/>
    <w:uiPriority w:val="8"/>
    <w:rsid w:val="00327493"/>
    <w:pPr>
      <w:numPr>
        <w:numId w:val="16"/>
      </w:numPr>
    </w:pPr>
  </w:style>
  <w:style w:type="paragraph" w:styleId="ListBullet3">
    <w:name w:val="List Bullet 3"/>
    <w:basedOn w:val="Normal"/>
    <w:uiPriority w:val="8"/>
    <w:rsid w:val="00327493"/>
    <w:pPr>
      <w:numPr>
        <w:numId w:val="17"/>
      </w:numPr>
    </w:pPr>
  </w:style>
  <w:style w:type="paragraph" w:styleId="ListBullet4">
    <w:name w:val="List Bullet 4"/>
    <w:basedOn w:val="Normal"/>
    <w:uiPriority w:val="8"/>
    <w:rsid w:val="00327493"/>
    <w:pPr>
      <w:numPr>
        <w:numId w:val="18"/>
      </w:numPr>
    </w:pPr>
  </w:style>
  <w:style w:type="paragraph" w:styleId="ListBullet5">
    <w:name w:val="List Bullet 5"/>
    <w:basedOn w:val="Normal"/>
    <w:uiPriority w:val="8"/>
    <w:rsid w:val="00327493"/>
    <w:pPr>
      <w:numPr>
        <w:numId w:val="19"/>
      </w:numPr>
    </w:pPr>
  </w:style>
  <w:style w:type="paragraph" w:styleId="Title">
    <w:name w:val="Title"/>
    <w:basedOn w:val="Normal"/>
    <w:uiPriority w:val="8"/>
    <w:rsid w:val="00327493"/>
    <w:pPr>
      <w:spacing w:before="240" w:after="60"/>
      <w:jc w:val="center"/>
      <w:outlineLvl w:val="0"/>
    </w:pPr>
    <w:rPr>
      <w:rFonts w:ascii="Arial" w:hAnsi="Arial" w:cs="Arial"/>
      <w:b/>
      <w:bCs/>
      <w:kern w:val="28"/>
      <w:sz w:val="32"/>
      <w:szCs w:val="32"/>
    </w:rPr>
  </w:style>
  <w:style w:type="paragraph" w:customStyle="1" w:styleId="Indent">
    <w:name w:val="Indent"/>
    <w:basedOn w:val="Normal"/>
    <w:uiPriority w:val="8"/>
    <w:qFormat/>
    <w:rsid w:val="00327493"/>
    <w:pPr>
      <w:ind w:left="720" w:hanging="720"/>
    </w:pPr>
  </w:style>
  <w:style w:type="paragraph" w:customStyle="1" w:styleId="UnNumberedHeading1">
    <w:name w:val="UnNumbered Heading 1"/>
    <w:basedOn w:val="Normal"/>
    <w:next w:val="Normal"/>
    <w:uiPriority w:val="8"/>
    <w:rsid w:val="00327493"/>
    <w:pPr>
      <w:jc w:val="center"/>
    </w:pPr>
    <w:rPr>
      <w:b/>
      <w:smallCaps/>
    </w:rPr>
  </w:style>
  <w:style w:type="character" w:customStyle="1" w:styleId="HeaderChar">
    <w:name w:val="Header Char"/>
    <w:basedOn w:val="DefaultParagraphFont"/>
    <w:link w:val="Header"/>
    <w:uiPriority w:val="99"/>
    <w:rsid w:val="00492BC3"/>
    <w:rPr>
      <w:sz w:val="24"/>
      <w:szCs w:val="24"/>
    </w:rPr>
  </w:style>
  <w:style w:type="paragraph" w:styleId="ListParagraph">
    <w:name w:val="List Paragraph"/>
    <w:basedOn w:val="Normal"/>
    <w:uiPriority w:val="42"/>
    <w:rsid w:val="005E43E2"/>
    <w:pPr>
      <w:ind w:left="720"/>
      <w:contextualSpacing/>
    </w:pPr>
  </w:style>
  <w:style w:type="paragraph" w:styleId="BodyText">
    <w:name w:val="Body Text"/>
    <w:basedOn w:val="Normal"/>
    <w:link w:val="BodyTextChar"/>
    <w:uiPriority w:val="8"/>
    <w:rsid w:val="00A9049F"/>
    <w:pPr>
      <w:spacing w:after="120"/>
    </w:pPr>
  </w:style>
  <w:style w:type="character" w:customStyle="1" w:styleId="BodyTextChar">
    <w:name w:val="Body Text Char"/>
    <w:basedOn w:val="DefaultParagraphFont"/>
    <w:link w:val="BodyText"/>
    <w:uiPriority w:val="8"/>
    <w:rsid w:val="00A9049F"/>
    <w:rPr>
      <w:sz w:val="24"/>
      <w:szCs w:val="24"/>
    </w:rPr>
  </w:style>
  <w:style w:type="paragraph" w:styleId="ListNumber">
    <w:name w:val="List Number"/>
    <w:basedOn w:val="Normal"/>
    <w:uiPriority w:val="8"/>
    <w:rsid w:val="00C410E7"/>
    <w:pPr>
      <w:numPr>
        <w:numId w:val="8"/>
      </w:numPr>
      <w:contextualSpacing/>
    </w:pPr>
  </w:style>
  <w:style w:type="paragraph" w:customStyle="1" w:styleId="CM4">
    <w:name w:val="CM4"/>
    <w:basedOn w:val="Normal"/>
    <w:next w:val="Normal"/>
    <w:uiPriority w:val="99"/>
    <w:rsid w:val="003E6607"/>
    <w:pPr>
      <w:widowControl w:val="0"/>
      <w:autoSpaceDE w:val="0"/>
      <w:autoSpaceDN w:val="0"/>
      <w:adjustRightInd w:val="0"/>
      <w:spacing w:line="240" w:lineRule="auto"/>
    </w:pPr>
    <w:rPr>
      <w:rFonts w:eastAsiaTheme="minorEastAsia"/>
    </w:rPr>
  </w:style>
  <w:style w:type="paragraph" w:customStyle="1" w:styleId="Default">
    <w:name w:val="Default"/>
    <w:rsid w:val="003E6607"/>
    <w:pPr>
      <w:widowControl w:val="0"/>
      <w:autoSpaceDE w:val="0"/>
      <w:autoSpaceDN w:val="0"/>
      <w:adjustRightInd w:val="0"/>
      <w:spacing w:line="240" w:lineRule="auto"/>
    </w:pPr>
    <w:rPr>
      <w:rFonts w:eastAsiaTheme="minorEastAsia"/>
      <w:color w:val="000000"/>
      <w:sz w:val="24"/>
      <w:szCs w:val="24"/>
    </w:rPr>
  </w:style>
  <w:style w:type="paragraph" w:customStyle="1" w:styleId="CM2">
    <w:name w:val="CM2"/>
    <w:basedOn w:val="Default"/>
    <w:next w:val="Default"/>
    <w:uiPriority w:val="99"/>
    <w:rsid w:val="003E6607"/>
    <w:pPr>
      <w:spacing w:line="231" w:lineRule="atLeast"/>
    </w:pPr>
    <w:rPr>
      <w:color w:val="auto"/>
    </w:rPr>
  </w:style>
  <w:style w:type="paragraph" w:styleId="BalloonText">
    <w:name w:val="Balloon Text"/>
    <w:basedOn w:val="Normal"/>
    <w:link w:val="BalloonTextChar"/>
    <w:uiPriority w:val="8"/>
    <w:rsid w:val="003E5B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8"/>
    <w:rsid w:val="003E5BBC"/>
    <w:rPr>
      <w:rFonts w:ascii="Segoe UI" w:hAnsi="Segoe UI" w:cs="Segoe UI"/>
      <w:sz w:val="18"/>
      <w:szCs w:val="18"/>
    </w:rPr>
  </w:style>
  <w:style w:type="character" w:styleId="CommentReference">
    <w:name w:val="annotation reference"/>
    <w:basedOn w:val="DefaultParagraphFont"/>
    <w:uiPriority w:val="8"/>
    <w:semiHidden/>
    <w:unhideWhenUsed/>
    <w:rsid w:val="00471684"/>
    <w:rPr>
      <w:sz w:val="16"/>
      <w:szCs w:val="16"/>
    </w:rPr>
  </w:style>
  <w:style w:type="paragraph" w:styleId="CommentText">
    <w:name w:val="annotation text"/>
    <w:basedOn w:val="Normal"/>
    <w:link w:val="CommentTextChar"/>
    <w:uiPriority w:val="8"/>
    <w:semiHidden/>
    <w:unhideWhenUsed/>
    <w:rsid w:val="00471684"/>
    <w:pPr>
      <w:spacing w:line="240" w:lineRule="auto"/>
    </w:pPr>
    <w:rPr>
      <w:sz w:val="20"/>
      <w:szCs w:val="20"/>
    </w:rPr>
  </w:style>
  <w:style w:type="character" w:customStyle="1" w:styleId="CommentTextChar">
    <w:name w:val="Comment Text Char"/>
    <w:basedOn w:val="DefaultParagraphFont"/>
    <w:link w:val="CommentText"/>
    <w:uiPriority w:val="8"/>
    <w:semiHidden/>
    <w:rsid w:val="00471684"/>
  </w:style>
  <w:style w:type="paragraph" w:styleId="CommentSubject">
    <w:name w:val="annotation subject"/>
    <w:basedOn w:val="CommentText"/>
    <w:next w:val="CommentText"/>
    <w:link w:val="CommentSubjectChar"/>
    <w:uiPriority w:val="8"/>
    <w:semiHidden/>
    <w:unhideWhenUsed/>
    <w:rsid w:val="00471684"/>
    <w:rPr>
      <w:b/>
      <w:bCs/>
    </w:rPr>
  </w:style>
  <w:style w:type="character" w:customStyle="1" w:styleId="CommentSubjectChar">
    <w:name w:val="Comment Subject Char"/>
    <w:basedOn w:val="CommentTextChar"/>
    <w:link w:val="CommentSubject"/>
    <w:uiPriority w:val="8"/>
    <w:semiHidden/>
    <w:rsid w:val="00471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9067CECD75F6488A011E7E877B7216" ma:contentTypeVersion="1" ma:contentTypeDescription="Create a new document." ma:contentTypeScope="" ma:versionID="085814069315b0c3f5edc5f8f65a052c">
  <xsd:schema xmlns:xsd="http://www.w3.org/2001/XMLSchema" xmlns:p="http://schemas.microsoft.com/office/2006/metadata/properties" xmlns:ns2="34f70b63-4224-473b-ac88-56a1c963a1de" targetNamespace="http://schemas.microsoft.com/office/2006/metadata/properties" ma:root="true" ma:fieldsID="8552011bbdbb6b9c782f1c1e7d1bee65" ns2:_="">
    <xsd:import namespace="34f70b63-4224-473b-ac88-56a1c963a1de"/>
    <xsd:element name="properties">
      <xsd:complexType>
        <xsd:sequence>
          <xsd:element name="documentManagement">
            <xsd:complexType>
              <xsd:all>
                <xsd:element ref="ns2:Frequently_x0020_Used" minOccurs="0"/>
              </xsd:all>
            </xsd:complexType>
          </xsd:element>
        </xsd:sequence>
      </xsd:complexType>
    </xsd:element>
  </xsd:schema>
  <xsd:schema xmlns:xsd="http://www.w3.org/2001/XMLSchema" xmlns:dms="http://schemas.microsoft.com/office/2006/documentManagement/types" targetNamespace="34f70b63-4224-473b-ac88-56a1c963a1de" elementFormDefault="qualified">
    <xsd:import namespace="http://schemas.microsoft.com/office/2006/documentManagement/types"/>
    <xsd:element name="Frequently_x0020_Used" ma:index="8" nillable="true" ma:displayName="Frequently Used" ma:description="Templates Used most often." ma:internalName="Frequently_x0020_Us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Frequently_x0020_Used xmlns="34f70b63-4224-473b-ac88-56a1c963a1d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86E50-4BFE-4B05-B44F-CAC882C86AAA}">
  <ds:schemaRefs>
    <ds:schemaRef ds:uri="http://schemas.microsoft.com/sharepoint/v3/contenttype/forms"/>
  </ds:schemaRefs>
</ds:datastoreItem>
</file>

<file path=customXml/itemProps2.xml><?xml version="1.0" encoding="utf-8"?>
<ds:datastoreItem xmlns:ds="http://schemas.openxmlformats.org/officeDocument/2006/customXml" ds:itemID="{4911C8D1-2F4F-4C13-A8EA-D9469E8B8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0b63-4224-473b-ac88-56a1c963a1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ED4B78A-6F47-48B5-8411-3EFE2022F02B}">
  <ds:schemaRefs>
    <ds:schemaRef ds:uri="http://schemas.microsoft.com/office/2006/metadata/properties"/>
    <ds:schemaRef ds:uri="http://purl.org/dc/dcmitype/"/>
    <ds:schemaRef ds:uri="http://www.w3.org/XML/1998/namespace"/>
    <ds:schemaRef ds:uri="http://schemas.microsoft.com/office/2006/documentManagement/types"/>
    <ds:schemaRef ds:uri="34f70b63-4224-473b-ac88-56a1c963a1de"/>
    <ds:schemaRef ds:uri="http://purl.org/dc/elements/1.1/"/>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DF1343E6-D509-4620-98A0-6E58AD51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Normal</vt:lpstr>
    </vt:vector>
  </TitlesOfParts>
  <Company>International Monetary Fund</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TempAccount</dc:creator>
  <cp:keywords>IMF</cp:keywords>
  <cp:lastModifiedBy>IMF.C</cp:lastModifiedBy>
  <cp:revision>4</cp:revision>
  <dcterms:created xsi:type="dcterms:W3CDTF">2017-06-09T02:08:00Z</dcterms:created>
  <dcterms:modified xsi:type="dcterms:W3CDTF">2017-06-19T18:21:00Z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